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490</w:t>
      </w:r>
    </w:p>
    <w:p>
      <w:r>
        <w:t>Bundesgericht (BGE), 2010-08-05, DE</w:t>
      </w:r>
    </w:p>
    <w:p>
      <w:r>
        <w:rPr>
          <w:b/>
        </w:rPr>
        <w:t xml:space="preserve">Quelle: </w:t>
      </w:r>
      <w:r>
        <w:t>https://mcp.opencaselaw.ch/entscheid/bge_136 III 490</w:t>
      </w:r>
    </w:p>
    <w:p>
      <w:r>
        <w:t>FR: ATF 136 III 490</w:t>
      </w:r>
    </w:p>
    <w:p>
      <w:r>
        <w:t>IT: DTF 136 III 490</w:t>
      </w:r>
    </w:p>
    <w:p>
      <w:pPr>
        <w:pStyle w:val="Heading2"/>
      </w:pPr>
      <w:r>
        <w:t>Regeste</w:t>
      </w:r>
    </w:p>
    <w:p>
      <w:r>
        <w:t>Regeste Art. 97 und 116 SchKG; Umfang der Pfändung; Verwertungsbegehren. Nachträgliche Wertsteigerungen des Pfändungsguts bilden keinen Grund, die erfolgte Pfändung herabzusetzen (E. 4.4). Ein Verwertungsbegehren darf nicht mit einer Bedingung verknüpft werden. Insbesondere ist es unzulässig, im Verwertungsbegehren um Aufschub der Verwertung zu ersuchen (E. 4.6).</w:t>
      </w:r>
    </w:p>
    <w:p>
      <w:pPr>
        <w:pStyle w:val="Heading2"/>
      </w:pPr>
      <w:r>
        <w:t>Erwägungen</w:t>
      </w:r>
    </w:p>
    <w:p>
      <w:r>
        <w:rPr>
          <w:b/>
        </w:rPr>
        <w:t>E. 4.1</w:t>
      </w:r>
    </w:p>
    <w:p>
      <w:r>
        <w:t>Bei der Beurteilung, ob eine Überpfändung vorliegt, ist das Obergericht gestützt auf die Bewertung des Konkursamtes vom 16. März 2009 und den inzwischen erfolgten Verkauf der Liegenschaft C. (vgl. oben lit. B) von einem zu erwartenden Konkursüberschuss (und damit einem Aktienwert) von mindestens Fr. 1'350'000.- ausgegangen. Für die Bewertung der Aktien sei unabhängig davon, ob die Gesellschaft liquidiert werde oder ein Konkurswiderruf erfolge, vom BGE 136 III 490 S. 492 Liquidationswert auszugehen, da die Gesellschaft einzig Barvermögen halte. Weil die Forderung des Beschwerdeführers sich per 14. November 2008 mit Zins und Kosten auf Fr. 415'000.- belaufen habe bzw. der Beschwerdegegner von einer Forderung von Fr. 430'666.30 ausgehe, liege angesichts des Aktienwerts von mindestens Fr. 1'350'000.- eine Überpfändung vor. Auf die Kritik des Beschwerdeführers an dieser Bewertungsmethode bzw. ihrem Ergebnis braucht nicht näher eingegangen zu werden, da seine Beschwerde bereits aus einem anderen Grund gutzuheissen ist.</w:t>
      </w:r>
    </w:p>
    <w:p>
      <w:r>
        <w:rPr>
          <w:b/>
        </w:rPr>
        <w:t>E. 4.2</w:t>
      </w:r>
    </w:p>
    <w:p>
      <w:r>
        <w:t>Gemäss Art. 97 Abs. 2 SchKG wird nicht mehr gepfändet als nötig ist, um die pfändenden Gläubiger für ihre Forderungen samt Zinsen und Kosten zu befriedigen. Die Schätzung der gepfändeten Gegenstände obliegt dem Betreibungsbeamten, welcher nötigenfalls Sachverständige beiziehen kann ( Art. 97 Abs. 1 SchKG ). Vorliegend haben zwei seit der Pfändung eingetretene Umstände das Obergericht veranlasst, die Pfändung herabzusetzen: Einerseits die neue Schätzung des im Konkurs der A. AG in Liquidation erwarteten Überschusses, welche durch das Konkursamt B. im Rahmen der Vernehmlassung zum Beschwerdeverfahren im Schreiben vom 16. März 2009 abgegeben worden ist, andererseits der effektiv vollzogene Verkauf der Liegenschaft C. zum Preis von Fr. 6'800'000.-. Es geht also nicht darum, ob die Pfändung sämtlicher Aktien der A. AG in Liquidation gemessen an der ursprünglichen Bewertung übermässig erscheint. Dies wäre angesichts des damaligen Schätzwertes von Fr. 500'000.-, welcher einer Forderung von - je nach Angaben - Fr. 415'000.- bzw. Fr. 430'666.30 gegenüberstand, und unter Berücksichtigung der bestehenden Bewertungsunsicherheiten nicht anzunehmen. Dass diese erste Schätzung aus damaliger Warte unzutreffend gewesen wäre, hat die Vorinstanz denn auch weder festgestellt noch ergibt sich solches aus dem genannten Schreiben vom 16. März 2009. Hingegen wirft die zu beurteilende Konstellation die Frage auf, ob nach der Pfändung eingetretene Umstände überhaupt Anlass bilden können, die Pfändung herabzusetzen.</w:t>
      </w:r>
    </w:p>
    <w:p>
      <w:r>
        <w:rPr>
          <w:b/>
        </w:rPr>
        <w:t>E. 4.3</w:t>
      </w:r>
    </w:p>
    <w:p>
      <w:r>
        <w:t>Gegebenenfalls könnte einer Wertänderung mit einer neuen Schätzung durch Sachverständige Rechnung getragen werden, und zwar in analoger Anwendung von Art. 9 Abs. 2 der Verordnung des Bundesgerichts vom 23. April 1920 über die Zwangsverwertung von Grundstücken (VZG; SR 281.42) auch bei Fahrnis, wenn anerkannte Schätzungskriterien bestehen ( BGE 114 III 29 E. 3c S. 30 mit Hinweisen). Solche Kriterien fehlen allerdings bei nicht kotierten Aktien BGE 136 III 490 S. 493 ( BGE 101 III 32 E. 2b und c S. 34 f.), weshalb eine Neuschätzung vorliegend nicht in Betracht kommt. Zudem mangelte es gemäss Feststellung des Obergerichts bereits an einem entsprechenden, rechtzeitig erhobenen Antrag.</w:t>
      </w:r>
    </w:p>
    <w:p>
      <w:r>
        <w:rPr>
          <w:b/>
        </w:rPr>
        <w:t>E. 4.4</w:t>
      </w:r>
    </w:p>
    <w:p>
      <w:r>
        <w:t>Es bleibt die Frage, ob die ausserhalb einer formellen Neuschätzung festgestellten veränderten Umstände eine Herabsetzung der Pfändung rechtfertigen können. Nach der bundesgerichtlichen Rechtsprechung vermögen Abzahlungen an die Betreibungsforderung keine verhältnismässige Freigabe eines Teils der gepfändeten Gegenstände herbeizuführen ( BGE 68 III 69 S. 71 f. ; 25 I 141 E. 3 S. 145). In allgemeiner Weise hat das Bundesgericht in BGE 48 III 198 E. 3 S. 199 f. festgehalten, dass nach der Pfändung bzw. dem Arrestvollzug eingetretene Umstände wie die Schuldminderung, die Verringerung einer hypothekarischen Belastung oder der Wertanstieg der arrestierten oder gepfändeten Vermögenswerte nicht zu berücksichtigen seien. Stellt sich die Pfändung hingegen als übersetzt heraus, weil geltend gemachte Drittansprüche im Widerspruchsverfahren erfolgreich bestritten wurden, so berechtigt dies zu einer Herabsetzung der Pfändung ( BGE 68 III 69 S. 71). An der Rechtsprechung, dass nachträgliche Wertänderungen der gepfändeten Gegenstände keine Entlassung aus der Pfändung zu begründen vermögen, ist aus mehreren Gründen festzuhalten. Die blosse Wertänderung ist zunächst nicht mit dem zulasten des Ansprechers verlaufenen Widerspruchsverfahren vergleichbar. Im Letzteren wird der Umfang des Pfändungsgutes festgelegt. Zu einer Überpfändung kann es dann kommen, wenn mehrere Drittansprüche im Raum stehen und sich der Pfändungsbeamte veranlasst sieht, so viel zu pfänden, dass die Betreibungsforderungen auch bei Erfolg der einen oder andern Drittansprache gedeckt sind. Stellt sich nach Durchlaufen der Widerspruchsverfahren eine Überpfändung heraus, rechtfertigt sich umgekehrt eine entsprechende Reduktion der Pfändung. Allerdings sollte diese Lage gar nicht erst eintreten, hat doch das Bundesgericht im Rahmen des Arrests entschieden, dass das Bestehen von Drittansprachen nicht rechtfertigt, zusätzliche Gegenstände zu verarrestieren, sondern nur, allenfalls andere Objekte zu blockieren ( BGE 120 III 49 E. 2a S. 51). Im Unterschied zu dieser Situation geht es im zu beurteilenden Fall aber nicht um die Festlegung des Pfändungsguts, sondern darum, dass diesem durch veränderte Umstände ein höherer Wert zukommt. BGE 136 III 490 S. 494 Dafür, dass Wertsteigerungen im Laufe des Verfahrens nicht zu einer Herabsetzung der Pfändung berechtigen, sprechen Rechtssicherheits- und Praktikabilitätserwägungen (zu Letzteren vgl. BGE 136 II 113 E. 3.3.4 S. 119 mit Hinweisen). Das Pfändungs- und Verwertungsverfahren soll innerhalb bestimmter Fristen abgewickelt werden ( Art. 116 Abs. 1 und Art. 122 Abs. 1 SchKG ). Gäbe eine Wertsteigerung grundsätzlich Anspruch auf entsprechende Herabsetzung der Pfändung, bestünde die Gefahr, die Verwertung durch solche Nebenverfahren auf Anpassung der Pfändung über Gebühr zu verzögern. Dieser Nachteil würde nicht automatisch durch ein materiell gerechteres Ergebnis der Pfändung aufgewogen. Zum einen ist die Bewertung je nach Objekt von vornherein mit mehr oder weniger grosser Unsicherheit behaftet, so dass die Behauptung einer eingetretenen Werterhöhung diesen allenfalls bereits anlässlich der Pfändung aufgeworfenen Punkt erneut zum Prozessthema machen würde, ohne Gewähr für eine höhere Genauigkeit in der Bewertung zu bieten. Zum andern sind allfällige Schwankungen - selbst wenn sie mit hinreichender Sicherheit festgestellt werden könnten - je nach Marktlage und Objekt mehr oder weniger häufig und fallen mehr oder weniger heftig aus. Insbesondere könnte nach einer vorübergehenden Wertsteigerung auch ein Wertverlust eintreten. Hätte in einer solchen Situation bereits eine Herabsetzung der Pfändung stattgefunden, müsste das Betreibungsamt dies durch eine Nachpfändung wiederum korrigieren. Der Rechtssicherheit und dem schnellen Ablauf des Verfahrens ist somit besser gedient, wenn Wertsteigerungen - und zwar unabhängig vom in Frage stehenden Objekt - unberücksichtigt bleiben und keinen Anlass zur Anpassung der Pfändung bilden. Dabei kann es grundsätzlich keinen Unterschied ausmachen, ob die nachträgliche Wertsteigerung ausserhalb eines Beschwerdeverfahrens bekannt wird, oder - wie hier - zufällig während eines hängigen Verfahrens. Eine Entlassung aus dem Pfändungsbeschlag bei Zustimmung der pfändenden Gläubiger ist dadurch nicht ausgeschlossen (vgl. JAEGER UND ANDERE, Das Bundesgesetz über Schuldbetreibung und Konkurs [SchKG], 5. Aufl. 2006, N. 16 zu Art. 97 SchKG ).</w:t>
      </w:r>
    </w:p>
    <w:p>
      <w:r>
        <w:rPr>
          <w:b/>
        </w:rPr>
        <w:t>E. 4.5</w:t>
      </w:r>
    </w:p>
    <w:p>
      <w:r>
        <w:t>Die Vorinstanz hat zur Begründung der Pfändungsherabsetzung ausgeführt, dass der Beschwerdegegner bei einer übermässigen Pfändung einen nicht wieder gutzumachenden Nachteil erleiden könnte. Der Beschwerdeführer habe nämlich im April 2009 das Verwertungsbegehren zur Versteigerung der Aktien ohne Aufschub gestellt. Es BGE 136 III 490 S. 495 liege auf der Hand, dass die Versteigerung von Aktien einer nicht kotierten Einpersonengesellschaft in Liquidation wohl kaum auf Publikumsinteresse stossen würde. Die Befürchtung des Beschwerdegegners sei deshalb berechtigt, dass der Beschwerdeführer in der Verwertung die Aktien der A. AG in Liquidation billig zu erwerben gedenke und damit nach Abschluss des Konkursverfahrens über die A. AG in Liquidation den ganzen Konkursüberschuss einheimsen könnte.</w:t>
      </w:r>
    </w:p>
    <w:p>
      <w:r>
        <w:rPr>
          <w:b/>
        </w:rPr>
        <w:t>E. 4.6</w:t>
      </w:r>
    </w:p>
    <w:p>
      <w:r>
        <w:t>Diese Ausführungen vermögen nicht zu überzeugen. Allfällige Pläne des Betreibungsgläubigers hinsichtlich seines Vorgehens während der Versteigerung spielen für die Beurteilung, ob eine Überpfändung vorliegt bzw. ob nachträgliche Wertsteigerungen zu einer Herabsetzung der Pfändung führen können, keine Rolle. Das Mass der Pfändung wird durch den Betreibungsbeamten festgelegt ( Art. 97 Abs. 1 SchKG ) und ist nicht von allfälligen Absichten des Gläubigers abhängig. Dem Beschwerdeführer kann auch nicht etwa Rechtsmissbrauch vorgeworfen werden, weil er rund sechs Monate nach der Pfändung ein Verwertungsbegehren gestellt hat, ohne dieses unter den Vorbehalt zu stellen, zunächst den Abschluss des Konkursverfahrens über die A. AG in Liquidation abzuwarten. Dem Gläubiger steht es frei, zu einem beliebigen Zeitpunkt innerhalb der Einjahresfrist von Art. 116 Abs. 1 SchKG das Verwertungsbegehren zu stellen; eine Bedingung anzubringen, ist dabei unzulässig ( BGE 94 III 78 E. 2 S. 79 f.). Ein Verwertungsbegehren, in welchem um Aufschub der Verwertung ersucht wird, gilt deshalb als nicht gestellt (FREY, in: Kommentar zum Bundesgesetz über Schuldbetreibung und Konkurs, Bd. II, 1998, N. 20 zu Art. 116 SchKG ; vgl. auch BGE 95 III 16 E. 1 S. 18). Im Übrigen ist völlig ungewiss, ob die Versteigerung tatsächlich auf kein Interesse stossen wird. Bei der Verwertung von Aktien einer Gesellschaft, deren Liquidation einen erheblichen Überschuss erwarten lässt, kann jedenfalls nicht unbesehen unterstellt werden, dass sich keine anderen Bieter als der Gläubiger selber finden werden. Das Betreibungsamt hat die Verwertung so zu organisieren, dass ein möglichst hoher Erlös erzielt wird und so auch eine allfällige, seit der Pfändung eingetretene Wertsteigerung im Verwertungsergebnis ihren Niederschlag findet. Auf diese Weise sollte der Schuldner durch die Nichtherabsetzung keinen bleibenden Nachteil erleiden. Ein allfälliger Überschuss aus der Verwertung kommt ihm zugute; bei Pfändung mehrerer Objekte kann gegebenenfalls bereits die Verwertung nach Deckung der Betreibungsforderungen eingestellt werden ( Art. 119 Abs. 2 SchKG ). BGE 136 III 490 S. 496</w:t>
      </w:r>
    </w:p>
    <w:p>
      <w:r>
        <w:rPr>
          <w:b/>
        </w:rPr>
        <w:t>E. 4.7</w:t>
      </w:r>
    </w:p>
    <w:p>
      <w:r>
        <w:t>Folglich erweist sich die Beschwerde als begründet. Der angefochtene Beschluss ist aufzuheben und von einer Herabsetzung der Nachpfändung Nr. 2 in der Betreibung Nr. 1 des Betreibungsamtes Z.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